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77777777" w:rsidR="005A16AF" w:rsidRPr="00E62241" w:rsidRDefault="005A16AF" w:rsidP="005A16AF">
      <w:pPr>
        <w:suppressAutoHyphens/>
        <w:rPr>
          <w:rFonts w:ascii="Times New Roman" w:hAnsi="Times New Roman"/>
          <w:b/>
          <w:spacing w:val="-2"/>
          <w:sz w:val="24"/>
        </w:rPr>
      </w:pPr>
      <w:r w:rsidRPr="00CB1558">
        <w:rPr>
          <w:rFonts w:ascii="Times New Roman" w:hAnsi="Times New Roman"/>
          <w:b/>
          <w:spacing w:val="-2"/>
          <w:sz w:val="24"/>
        </w:rPr>
        <w:t xml:space="preserve">Enabling Digital Governance in Serbia </w:t>
      </w:r>
      <w:r w:rsidRPr="00674B08">
        <w:rPr>
          <w:rFonts w:ascii="Times New Roman" w:hAnsi="Times New Roman"/>
          <w:b/>
          <w:spacing w:val="-2"/>
          <w:sz w:val="24"/>
        </w:rPr>
        <w:t>(</w:t>
      </w:r>
      <w:proofErr w:type="spellStart"/>
      <w:r w:rsidRPr="00674B08">
        <w:rPr>
          <w:rFonts w:ascii="Times New Roman" w:hAnsi="Times New Roman"/>
          <w:b/>
          <w:spacing w:val="-2"/>
          <w:sz w:val="24"/>
        </w:rPr>
        <w:t>E</w:t>
      </w:r>
      <w:r>
        <w:rPr>
          <w:rFonts w:ascii="Times New Roman" w:hAnsi="Times New Roman"/>
          <w:b/>
          <w:spacing w:val="-2"/>
          <w:sz w:val="24"/>
        </w:rPr>
        <w:t>DGe</w:t>
      </w:r>
      <w:proofErr w:type="spellEnd"/>
      <w:r w:rsidRPr="00674B08">
        <w:rPr>
          <w:rFonts w:ascii="Times New Roman" w:hAnsi="Times New Roman"/>
          <w:b/>
          <w:spacing w:val="-2"/>
          <w:sz w:val="24"/>
        </w:rPr>
        <w:t>)</w:t>
      </w:r>
    </w:p>
    <w:p w14:paraId="0AE35AB7" w14:textId="21A8F826" w:rsidR="001A5D44" w:rsidRPr="00AF69E4" w:rsidRDefault="005A16AF" w:rsidP="005A16AF">
      <w:pPr>
        <w:pStyle w:val="BodyText"/>
        <w:rPr>
          <w:rFonts w:ascii="Times New Roman" w:hAnsi="Times New Roman"/>
        </w:rPr>
      </w:pPr>
      <w:r w:rsidRPr="00D65D0B">
        <w:rPr>
          <w:rFonts w:ascii="Times New Roman" w:hAnsi="Times New Roman"/>
          <w:b/>
        </w:rPr>
        <w:t>Project ID No. P1</w:t>
      </w:r>
      <w:r>
        <w:rPr>
          <w:rFonts w:ascii="Times New Roman" w:hAnsi="Times New Roman"/>
          <w:b/>
        </w:rPr>
        <w:t>64824</w:t>
      </w:r>
    </w:p>
    <w:p w14:paraId="4F1BE01C"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7B71613F" w14:textId="77777777" w:rsidR="001A5D44" w:rsidRPr="00217E25"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47ACA758" w14:textId="3E8631EB" w:rsidR="001A5D44" w:rsidRPr="002F5C38" w:rsidRDefault="002F28DC" w:rsidP="002F28DC">
      <w:pPr>
        <w:pStyle w:val="ListParagraph"/>
        <w:numPr>
          <w:ilvl w:val="0"/>
          <w:numId w:val="1"/>
        </w:numPr>
        <w:suppressAutoHyphens/>
        <w:jc w:val="both"/>
        <w:rPr>
          <w:rFonts w:ascii="Times New Roman" w:hAnsi="Times New Roman"/>
          <w:b/>
          <w:sz w:val="24"/>
          <w:szCs w:val="24"/>
        </w:rPr>
      </w:pPr>
      <w:r w:rsidRPr="002F28DC">
        <w:rPr>
          <w:rFonts w:ascii="Times New Roman" w:hAnsi="Times New Roman"/>
          <w:b/>
          <w:sz w:val="24"/>
          <w:szCs w:val="24"/>
        </w:rPr>
        <w:t>Senior Advisor on Digital Reform and Establishment of the Office for Information Security</w:t>
      </w:r>
      <w:r w:rsidR="001A5D44" w:rsidRPr="002F5C38">
        <w:rPr>
          <w:rFonts w:ascii="Times New Roman" w:hAnsi="Times New Roman"/>
          <w:b/>
          <w:sz w:val="24"/>
          <w:szCs w:val="24"/>
        </w:rPr>
        <w:t>, Reference No. SER-</w:t>
      </w:r>
      <w:r w:rsidR="005A16AF" w:rsidRPr="002F5C38">
        <w:rPr>
          <w:rFonts w:ascii="Times New Roman" w:hAnsi="Times New Roman"/>
          <w:b/>
          <w:sz w:val="24"/>
          <w:szCs w:val="24"/>
        </w:rPr>
        <w:t>EDGE</w:t>
      </w:r>
      <w:r>
        <w:rPr>
          <w:rFonts w:ascii="Times New Roman" w:hAnsi="Times New Roman"/>
          <w:b/>
          <w:sz w:val="24"/>
          <w:szCs w:val="24"/>
        </w:rPr>
        <w:t>-IC-CS-25-63</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69930E7" w14:textId="77777777" w:rsidR="00D20BE0" w:rsidRDefault="005A16AF" w:rsidP="00D20BE0">
      <w:pPr>
        <w:suppressAutoHyphens/>
        <w:jc w:val="both"/>
      </w:pPr>
      <w:r w:rsidRPr="005A16AF">
        <w:rPr>
          <w:rFonts w:ascii="Times New Roman" w:hAnsi="Times New Roman"/>
          <w:spacing w:val="-2"/>
          <w:sz w:val="24"/>
          <w:szCs w:val="24"/>
        </w:rPr>
        <w:t>The Republic of Serbia has received financing in the amount of US$ 50,000,000 equivalent from the World Bank toward the cost of the Enabling Digital Governance Project (</w:t>
      </w:r>
      <w:proofErr w:type="spellStart"/>
      <w:r w:rsidRPr="005A16AF">
        <w:rPr>
          <w:rFonts w:ascii="Times New Roman" w:hAnsi="Times New Roman"/>
          <w:spacing w:val="-2"/>
          <w:sz w:val="24"/>
          <w:szCs w:val="24"/>
        </w:rPr>
        <w:t>EDGe</w:t>
      </w:r>
      <w:proofErr w:type="spellEnd"/>
      <w:r w:rsidRPr="005A16AF">
        <w:rPr>
          <w:rFonts w:ascii="Times New Roman" w:hAnsi="Times New Roman"/>
          <w:spacing w:val="-2"/>
          <w:sz w:val="24"/>
          <w:szCs w:val="24"/>
        </w:rPr>
        <w:t>), and intends to apply part of the proceeds for consulting services.</w:t>
      </w:r>
    </w:p>
    <w:p w14:paraId="2987772B" w14:textId="77777777" w:rsidR="00D20BE0" w:rsidRDefault="00D20BE0" w:rsidP="00D20BE0">
      <w:pPr>
        <w:suppressAutoHyphens/>
        <w:jc w:val="both"/>
      </w:pPr>
    </w:p>
    <w:p w14:paraId="2C61964F" w14:textId="77777777" w:rsidR="002F28DC" w:rsidRPr="002F28DC" w:rsidRDefault="002F28DC" w:rsidP="002F28DC">
      <w:pPr>
        <w:autoSpaceDE w:val="0"/>
        <w:autoSpaceDN w:val="0"/>
        <w:adjustRightInd w:val="0"/>
        <w:spacing w:before="60" w:after="60"/>
        <w:jc w:val="both"/>
        <w:rPr>
          <w:sz w:val="24"/>
          <w:szCs w:val="24"/>
        </w:rPr>
      </w:pPr>
      <w:r w:rsidRPr="002F28DC">
        <w:rPr>
          <w:sz w:val="24"/>
          <w:szCs w:val="24"/>
        </w:rPr>
        <w:t>The duties of the Senior Advisor on Digital Reform and Establishment of the Office for Information Security shall include, but are not limited to:</w:t>
      </w:r>
    </w:p>
    <w:p w14:paraId="36D01A29"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 xml:space="preserve">Providing proposal of the organizational structure of the OIS; </w:t>
      </w:r>
    </w:p>
    <w:p w14:paraId="688858FB"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Definition of the criteria for selecting employees of the OIS , outlining specific set of skills and requirements;</w:t>
      </w:r>
    </w:p>
    <w:p w14:paraId="51CA76F7"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Providing more detailed analysis of the roles and responsibilities of employees within the OIS;</w:t>
      </w:r>
    </w:p>
    <w:p w14:paraId="5F42BD24"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Support organizational structure and development and maintenance of internal procedures prior and post establishment of the OIS</w:t>
      </w:r>
    </w:p>
    <w:p w14:paraId="1E5EFEFF"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Proposing a cooperation model between the OIS and the private sector, non-governmental organizations, and academic institutions;</w:t>
      </w:r>
    </w:p>
    <w:p w14:paraId="3D694C36"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Providing proposals for establishing national legal entities aligned with the NIS2 Directive;</w:t>
      </w:r>
    </w:p>
    <w:p w14:paraId="0B9D89B7"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Developing frameworks in line with the NIS2 Directive (e.g., Coordinated Vulnerability Disclosure Framework, Crisis Management Framework);</w:t>
      </w:r>
    </w:p>
    <w:p w14:paraId="35B8D9A5"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Providing proposals for establishing National and Governmental CERTs in accordance with NIS2 requirements;</w:t>
      </w:r>
    </w:p>
    <w:p w14:paraId="0F825035"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Provide insight in design and implementation of trainings and professional development programs for individuals working in OIS, with a strong focus on information security, in collaboration with competent authorities and stakeholders from the public, academic, business, and NGO sectors;</w:t>
      </w:r>
    </w:p>
    <w:p w14:paraId="154BBCC0"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Engaging in national and international cooperation in the fields of digitalization, information security, and artificial intelligence;</w:t>
      </w:r>
    </w:p>
    <w:p w14:paraId="1594CDC5"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Proposing activities to enhance cyber incident response capabilities, especially through the planning of relevant exercises and training programs;</w:t>
      </w:r>
    </w:p>
    <w:p w14:paraId="08A6C501"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Analyzing information on cyber threats, vulnerabilities, and both avoided and realized cyber incidents;</w:t>
      </w:r>
    </w:p>
    <w:p w14:paraId="00E060F4"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lastRenderedPageBreak/>
        <w:t>Providing inputs to awareness raising campaigns among citizens, businesses, and public institutions about the importance of information security;</w:t>
      </w:r>
    </w:p>
    <w:p w14:paraId="3AF41CD9"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Contributing to and developing design systems to ensure consistency and scalability across platforms;</w:t>
      </w:r>
    </w:p>
    <w:p w14:paraId="4203911E"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 xml:space="preserve">Suggest structures for oversight, reporting, and accountability within the OIS. </w:t>
      </w:r>
    </w:p>
    <w:p w14:paraId="1DE2FA80" w14:textId="77777777" w:rsidR="002F28DC"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 xml:space="preserve">Propose KPIs to assess the effectiveness of the OIS post-establishment. </w:t>
      </w:r>
    </w:p>
    <w:p w14:paraId="4050E3B8" w14:textId="5080BB4F" w:rsidR="00645115" w:rsidRPr="002F28DC" w:rsidRDefault="002F28DC" w:rsidP="002F28DC">
      <w:pPr>
        <w:pStyle w:val="ListParagraph"/>
        <w:numPr>
          <w:ilvl w:val="0"/>
          <w:numId w:val="6"/>
        </w:numPr>
        <w:autoSpaceDE w:val="0"/>
        <w:autoSpaceDN w:val="0"/>
        <w:adjustRightInd w:val="0"/>
        <w:spacing w:before="60" w:after="60"/>
        <w:jc w:val="both"/>
        <w:rPr>
          <w:sz w:val="24"/>
          <w:szCs w:val="24"/>
        </w:rPr>
      </w:pPr>
      <w:r w:rsidRPr="002F28DC">
        <w:rPr>
          <w:sz w:val="24"/>
          <w:szCs w:val="24"/>
        </w:rPr>
        <w:t>Provide guidance on long-term sustainab</w:t>
      </w:r>
      <w:r>
        <w:rPr>
          <w:sz w:val="24"/>
          <w:szCs w:val="24"/>
        </w:rPr>
        <w:t>ility, including funding models.</w:t>
      </w:r>
    </w:p>
    <w:p w14:paraId="34255D72" w14:textId="77777777" w:rsidR="00645115" w:rsidRPr="00645115" w:rsidRDefault="00645115" w:rsidP="00645115">
      <w:pPr>
        <w:pStyle w:val="ListParagraph"/>
        <w:autoSpaceDE w:val="0"/>
        <w:autoSpaceDN w:val="0"/>
        <w:adjustRightInd w:val="0"/>
        <w:spacing w:before="60" w:after="60"/>
        <w:jc w:val="both"/>
        <w:rPr>
          <w:rFonts w:ascii="Times New Roman" w:hAnsi="Times New Roman"/>
          <w:spacing w:val="-2"/>
          <w:sz w:val="24"/>
          <w:szCs w:val="24"/>
        </w:rPr>
      </w:pPr>
    </w:p>
    <w:p w14:paraId="08BCE7E2" w14:textId="77777777" w:rsidR="00473DE7" w:rsidRPr="00645115" w:rsidRDefault="00473DE7" w:rsidP="00473DE7">
      <w:pPr>
        <w:jc w:val="both"/>
        <w:rPr>
          <w:rFonts w:ascii="Times New Roman" w:hAnsi="Times New Roman"/>
          <w:spacing w:val="-2"/>
          <w:sz w:val="24"/>
          <w:szCs w:val="24"/>
        </w:rPr>
      </w:pPr>
      <w:r w:rsidRPr="00645115">
        <w:rPr>
          <w:rFonts w:ascii="Times New Roman" w:hAnsi="Times New Roman"/>
          <w:b/>
          <w:spacing w:val="-2"/>
          <w:sz w:val="24"/>
          <w:szCs w:val="24"/>
        </w:rPr>
        <w:t>Required qualifications</w:t>
      </w:r>
      <w:r w:rsidR="00F02757" w:rsidRPr="00645115">
        <w:rPr>
          <w:rFonts w:ascii="Times New Roman" w:hAnsi="Times New Roman"/>
          <w:spacing w:val="-2"/>
          <w:sz w:val="24"/>
          <w:szCs w:val="24"/>
        </w:rPr>
        <w:t xml:space="preserve">: </w:t>
      </w:r>
    </w:p>
    <w:p w14:paraId="7FA50A75"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Bachelor’s degree in information technologies, electrical engineering, or a related field;</w:t>
      </w:r>
    </w:p>
    <w:p w14:paraId="798F2E13"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Possession of an international certificate in cybersecurity is preferable;</w:t>
      </w:r>
    </w:p>
    <w:p w14:paraId="04E78D9C"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Experience in organization and management;</w:t>
      </w:r>
    </w:p>
    <w:p w14:paraId="42305324"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Experience in implementing procedures and business solutions;</w:t>
      </w:r>
    </w:p>
    <w:p w14:paraId="52F27221"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Experience in creating and implementing an academic program for the education, training; and professional development of individuals working in digitalization is preferable;</w:t>
      </w:r>
    </w:p>
    <w:p w14:paraId="3A1144F7"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Experience in cooperation with state or private institutions in defining and implementing training or academic programs for the education of individuals involved in the implementation of information technologies in the public sector, is preferable;</w:t>
      </w:r>
    </w:p>
    <w:p w14:paraId="438F7D90"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Experience in assessing the quality of education, training, and professional development programs for individuals working in digitalization is an asset;</w:t>
      </w:r>
    </w:p>
    <w:p w14:paraId="72D0E23D" w14:textId="77777777" w:rsidR="002F28DC"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Participating in domestic and international projects;</w:t>
      </w:r>
    </w:p>
    <w:p w14:paraId="3442ECE0" w14:textId="7F315F17" w:rsidR="00645115" w:rsidRPr="002F28DC" w:rsidRDefault="002F28DC" w:rsidP="002F28DC">
      <w:pPr>
        <w:pStyle w:val="ListParagraph"/>
        <w:numPr>
          <w:ilvl w:val="0"/>
          <w:numId w:val="6"/>
        </w:numPr>
        <w:autoSpaceDE w:val="0"/>
        <w:autoSpaceDN w:val="0"/>
        <w:adjustRightInd w:val="0"/>
        <w:spacing w:before="60" w:after="60"/>
        <w:jc w:val="both"/>
        <w:rPr>
          <w:rFonts w:ascii="Times New Roman" w:hAnsi="Times New Roman"/>
          <w:spacing w:val="-2"/>
          <w:sz w:val="24"/>
          <w:szCs w:val="24"/>
        </w:rPr>
      </w:pPr>
      <w:r w:rsidRPr="002F28DC">
        <w:rPr>
          <w:rFonts w:ascii="Times New Roman" w:hAnsi="Times New Roman"/>
          <w:spacing w:val="-2"/>
          <w:sz w:val="24"/>
          <w:szCs w:val="24"/>
        </w:rPr>
        <w:t>Good knowledge of written and spoken English and Serbian.</w:t>
      </w:r>
    </w:p>
    <w:p w14:paraId="4C86CA37" w14:textId="5B028DDA" w:rsidR="00473DE7" w:rsidRDefault="00473DE7" w:rsidP="00473DE7">
      <w:pPr>
        <w:jc w:val="both"/>
        <w:rPr>
          <w:rFonts w:ascii="Times New Roman" w:hAnsi="Times New Roman"/>
          <w:sz w:val="24"/>
          <w:szCs w:val="24"/>
        </w:rPr>
      </w:pPr>
    </w:p>
    <w:p w14:paraId="737C7D14" w14:textId="60D5F95E" w:rsidR="00EA37DB" w:rsidRDefault="002F28DC" w:rsidP="00916E24">
      <w:pPr>
        <w:suppressAutoHyphens/>
        <w:jc w:val="both"/>
        <w:rPr>
          <w:rFonts w:ascii="Times New Roman" w:hAnsi="Times New Roman"/>
          <w:spacing w:val="-2"/>
          <w:sz w:val="24"/>
          <w:szCs w:val="24"/>
        </w:rPr>
      </w:pPr>
      <w:r w:rsidRPr="002F28DC">
        <w:rPr>
          <w:rFonts w:ascii="Times New Roman" w:hAnsi="Times New Roman"/>
          <w:spacing w:val="-2"/>
          <w:sz w:val="24"/>
          <w:szCs w:val="24"/>
        </w:rPr>
        <w:t>The Consultant shall provide part-time services under lump sum Contract paid upon acceptance of deliverables. The Consultant shall perform the Services until the Closing Date of the Project is May 31, 2026</w:t>
      </w:r>
      <w:r w:rsidR="00EA37DB">
        <w:rPr>
          <w:rFonts w:ascii="Times New Roman" w:hAnsi="Times New Roman"/>
          <w:spacing w:val="-2"/>
          <w:sz w:val="24"/>
          <w:szCs w:val="24"/>
        </w:rPr>
        <w:t>.</w:t>
      </w:r>
    </w:p>
    <w:p w14:paraId="26964384" w14:textId="77777777" w:rsidR="00EA37DB" w:rsidRDefault="00EA37DB" w:rsidP="00916E24">
      <w:pPr>
        <w:suppressAutoHyphens/>
        <w:jc w:val="both"/>
        <w:rPr>
          <w:rFonts w:ascii="Times New Roman" w:hAnsi="Times New Roman"/>
          <w:spacing w:val="-2"/>
          <w:sz w:val="24"/>
          <w:szCs w:val="24"/>
        </w:rPr>
      </w:pPr>
    </w:p>
    <w:p w14:paraId="475E8643" w14:textId="09D7604E" w:rsidR="008F7BF0" w:rsidRDefault="0035520E"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detailed Terms of Reference for the </w:t>
      </w:r>
      <w:r w:rsidR="00B4469E" w:rsidRPr="00217E25">
        <w:rPr>
          <w:rFonts w:ascii="Times New Roman" w:hAnsi="Times New Roman"/>
          <w:spacing w:val="-2"/>
          <w:sz w:val="24"/>
          <w:szCs w:val="24"/>
        </w:rPr>
        <w:t>above referenced</w:t>
      </w:r>
      <w:r w:rsidRPr="00217E25">
        <w:rPr>
          <w:rFonts w:ascii="Times New Roman" w:hAnsi="Times New Roman"/>
          <w:spacing w:val="-2"/>
          <w:sz w:val="24"/>
          <w:szCs w:val="24"/>
        </w:rPr>
        <w:t xml:space="preserve"> consulting services is posted on the website of the</w:t>
      </w:r>
      <w:r w:rsidR="00D200D6"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Office for Information Technology and e-Government </w:t>
      </w:r>
      <w:hyperlink r:id="rId8" w:history="1">
        <w:r w:rsidR="008768F0" w:rsidRPr="00D20BE0">
          <w:rPr>
            <w:rStyle w:val="Hyperlink"/>
            <w:rFonts w:ascii="Times New Roman" w:hAnsi="Times New Roman"/>
            <w:spacing w:val="-2"/>
            <w:sz w:val="24"/>
            <w:szCs w:val="24"/>
            <w:highlight w:val="yellow"/>
          </w:rPr>
          <w:t>https://www.ite.gov.rs/edge</w:t>
        </w:r>
      </w:hyperlink>
      <w:r w:rsidR="008F7BF0">
        <w:rPr>
          <w:rFonts w:ascii="Times New Roman" w:hAnsi="Times New Roman"/>
          <w:spacing w:val="-2"/>
          <w:sz w:val="24"/>
          <w:szCs w:val="24"/>
        </w:rPr>
        <w:t>.</w:t>
      </w:r>
    </w:p>
    <w:p w14:paraId="6A62AFA7" w14:textId="77777777" w:rsidR="0035520E" w:rsidRPr="00217E25" w:rsidRDefault="0035520E" w:rsidP="00916E24">
      <w:pPr>
        <w:suppressAutoHyphens/>
        <w:jc w:val="both"/>
        <w:rPr>
          <w:rFonts w:ascii="Times New Roman" w:hAnsi="Times New Roman"/>
          <w:spacing w:val="-2"/>
          <w:sz w:val="24"/>
          <w:szCs w:val="24"/>
        </w:rPr>
      </w:pPr>
    </w:p>
    <w:p w14:paraId="12846515" w14:textId="671022C0"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6AE51FFF"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Specific Experience relevant to the Assignment                   </w:t>
      </w:r>
      <w:r>
        <w:rPr>
          <w:rFonts w:ascii="Times New Roman" w:hAnsi="Times New Roman"/>
          <w:spacing w:val="-2"/>
          <w:sz w:val="24"/>
          <w:szCs w:val="24"/>
        </w:rPr>
        <w:tab/>
      </w:r>
      <w:proofErr w:type="gramStart"/>
      <w:r w:rsidR="00645115">
        <w:rPr>
          <w:rFonts w:ascii="Times New Roman" w:hAnsi="Times New Roman"/>
          <w:spacing w:val="-2"/>
          <w:sz w:val="24"/>
          <w:szCs w:val="24"/>
        </w:rPr>
        <w:t>( 6</w:t>
      </w:r>
      <w:r w:rsidRPr="000A7704">
        <w:rPr>
          <w:rFonts w:ascii="Times New Roman" w:hAnsi="Times New Roman"/>
          <w:spacing w:val="-2"/>
          <w:sz w:val="24"/>
          <w:szCs w:val="24"/>
        </w:rPr>
        <w:t>0</w:t>
      </w:r>
      <w:proofErr w:type="gramEnd"/>
      <w:r w:rsidRPr="000A7704">
        <w:rPr>
          <w:rFonts w:ascii="Times New Roman" w:hAnsi="Times New Roman"/>
          <w:spacing w:val="-2"/>
          <w:sz w:val="24"/>
          <w:szCs w:val="24"/>
        </w:rPr>
        <w:t xml:space="preserve"> Points)</w:t>
      </w:r>
    </w:p>
    <w:p w14:paraId="0EF00470" w14:textId="500FF3E8"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Qualifications and Competence relevant to the Assignment </w:t>
      </w:r>
      <w:r>
        <w:rPr>
          <w:rFonts w:ascii="Times New Roman" w:hAnsi="Times New Roman"/>
          <w:spacing w:val="-2"/>
          <w:sz w:val="24"/>
          <w:szCs w:val="24"/>
        </w:rPr>
        <w:tab/>
      </w:r>
      <w:proofErr w:type="gramStart"/>
      <w:r w:rsidR="00645115">
        <w:rPr>
          <w:rFonts w:ascii="Times New Roman" w:hAnsi="Times New Roman"/>
          <w:spacing w:val="-2"/>
          <w:sz w:val="24"/>
          <w:szCs w:val="24"/>
        </w:rPr>
        <w:t>( 4</w:t>
      </w:r>
      <w:r w:rsidRPr="000A7704">
        <w:rPr>
          <w:rFonts w:ascii="Times New Roman" w:hAnsi="Times New Roman"/>
          <w:spacing w:val="-2"/>
          <w:sz w:val="24"/>
          <w:szCs w:val="24"/>
        </w:rPr>
        <w:t>0</w:t>
      </w:r>
      <w:proofErr w:type="gramEnd"/>
      <w:r w:rsidRPr="000A7704">
        <w:rPr>
          <w:rFonts w:ascii="Times New Roman" w:hAnsi="Times New Roman"/>
          <w:spacing w:val="-2"/>
          <w:sz w:val="24"/>
          <w:szCs w:val="24"/>
        </w:rPr>
        <w:t xml:space="preserve">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lastRenderedPageBreak/>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(July 2016, 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D05FFF1" w14:textId="0F1F4D18" w:rsidR="00EC3EA0" w:rsidRDefault="009830E4" w:rsidP="00EC3EA0">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F51760">
        <w:rPr>
          <w:rFonts w:ascii="Times New Roman" w:hAnsi="Times New Roman"/>
          <w:b/>
          <w:spacing w:val="-2"/>
          <w:sz w:val="24"/>
          <w:szCs w:val="24"/>
        </w:rPr>
        <w:t>in English language</w:t>
      </w:r>
      <w:r w:rsidR="00EC3EA0" w:rsidRPr="00EC3EA0">
        <w:rPr>
          <w:rFonts w:ascii="Times New Roman" w:hAnsi="Times New Roman"/>
          <w:spacing w:val="-2"/>
          <w:sz w:val="24"/>
          <w:szCs w:val="24"/>
        </w:rPr>
        <w:t xml:space="preserv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1763E0" w:rsidRPr="001763E0">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2F28DC" w:rsidRPr="002F28DC">
        <w:rPr>
          <w:rFonts w:ascii="Times New Roman" w:hAnsi="Times New Roman"/>
          <w:b/>
          <w:spacing w:val="-2"/>
          <w:sz w:val="24"/>
          <w:szCs w:val="24"/>
        </w:rPr>
        <w:t>September 01, 2025</w:t>
      </w:r>
      <w:bookmarkStart w:id="0" w:name="_GoBack"/>
      <w:bookmarkEnd w:id="0"/>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F51760">
        <w:rPr>
          <w:rFonts w:ascii="Times New Roman" w:hAnsi="Times New Roman"/>
          <w:b/>
          <w:spacing w:val="-2"/>
          <w:sz w:val="24"/>
          <w:szCs w:val="24"/>
        </w:rPr>
        <w:t>5</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BF33F0" w:rsidRPr="00BF33F0">
        <w:rPr>
          <w:rFonts w:ascii="Times New Roman" w:hAnsi="Times New Roman"/>
          <w:spacing w:val="-2"/>
          <w:sz w:val="24"/>
          <w:szCs w:val="24"/>
        </w:rPr>
        <w:t>Please indicate the name and reference number of the consultancy in the subject of your email.</w:t>
      </w:r>
    </w:p>
    <w:p w14:paraId="07FD5DE9" w14:textId="77777777" w:rsidR="009830E4" w:rsidRDefault="009830E4">
      <w:pPr>
        <w:suppressAutoHyphens/>
        <w:rPr>
          <w:rFonts w:ascii="Times New Roman" w:hAnsi="Times New Roman"/>
          <w:spacing w:val="-2"/>
          <w:sz w:val="24"/>
        </w:rPr>
      </w:pP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2"/>
        <w:gridCol w:w="3666"/>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E40280"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1B3560"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w:t>
            </w:r>
            <w:proofErr w:type="spellStart"/>
            <w:r w:rsidRPr="00E40280">
              <w:rPr>
                <w:rFonts w:ascii="Times New Roman" w:hAnsi="Times New Roman"/>
                <w:spacing w:val="-2"/>
                <w:sz w:val="24"/>
              </w:rPr>
              <w:t>Krejovic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2EE6BA80" w14:textId="77777777" w:rsidR="00D20BE0" w:rsidRDefault="00D20BE0" w:rsidP="00982D78">
            <w:pPr>
              <w:spacing w:before="120"/>
              <w:rPr>
                <w:rFonts w:ascii="Times New Roman" w:hAnsi="Times New Roman"/>
                <w:spacing w:val="-2"/>
                <w:sz w:val="24"/>
              </w:rPr>
            </w:pPr>
            <w:proofErr w:type="spellStart"/>
            <w:r w:rsidRPr="00D20BE0">
              <w:rPr>
                <w:rFonts w:ascii="Times New Roman" w:hAnsi="Times New Roman"/>
                <w:spacing w:val="-2"/>
                <w:sz w:val="24"/>
              </w:rPr>
              <w:t>Balkanska</w:t>
            </w:r>
            <w:proofErr w:type="spellEnd"/>
            <w:r w:rsidRPr="00D20BE0">
              <w:rPr>
                <w:rFonts w:ascii="Times New Roman" w:hAnsi="Times New Roman"/>
                <w:spacing w:val="-2"/>
                <w:sz w:val="24"/>
              </w:rPr>
              <w:t xml:space="preserve"> 53</w:t>
            </w:r>
          </w:p>
          <w:p w14:paraId="6BD11B60" w14:textId="13EAB9CD"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11000 Belgrade, Serbia</w:t>
            </w:r>
          </w:p>
          <w:p w14:paraId="50141036" w14:textId="2A7629D6" w:rsidR="00FF5DF7" w:rsidRPr="00E40280" w:rsidRDefault="00FF5DF7" w:rsidP="00D20BE0">
            <w:pPr>
              <w:spacing w:before="120"/>
              <w:rPr>
                <w:rFonts w:ascii="Times New Roman" w:hAnsi="Times New Roman"/>
                <w:spacing w:val="-2"/>
                <w:sz w:val="24"/>
              </w:rPr>
            </w:pPr>
            <w:r w:rsidRPr="00316E86">
              <w:rPr>
                <w:rFonts w:ascii="Times New Roman" w:hAnsi="Times New Roman"/>
                <w:spacing w:val="-2"/>
                <w:sz w:val="24"/>
              </w:rPr>
              <w:t xml:space="preserve">Tel: (+381 11) </w:t>
            </w:r>
            <w:r w:rsidR="00D20BE0">
              <w:rPr>
                <w:rFonts w:ascii="Times New Roman" w:hAnsi="Times New Roman"/>
                <w:spacing w:val="-2"/>
                <w:sz w:val="24"/>
              </w:rPr>
              <w:t>765</w:t>
            </w:r>
            <w:r w:rsidR="00E25458" w:rsidRPr="00E25458">
              <w:rPr>
                <w:rFonts w:ascii="Times New Roman" w:hAnsi="Times New Roman"/>
                <w:spacing w:val="-2"/>
                <w:sz w:val="24"/>
              </w:rPr>
              <w:t>2</w:t>
            </w:r>
            <w:r w:rsidR="00D20BE0">
              <w:rPr>
                <w:rFonts w:ascii="Times New Roman" w:hAnsi="Times New Roman"/>
                <w:spacing w:val="-2"/>
                <w:sz w:val="24"/>
              </w:rPr>
              <w:t xml:space="preserve"> 652</w:t>
            </w:r>
            <w:r w:rsidRPr="00316E86">
              <w:rPr>
                <w:rFonts w:ascii="Times New Roman" w:hAnsi="Times New Roman"/>
                <w:spacing w:val="-2"/>
                <w:sz w:val="24"/>
              </w:rPr>
              <w:t>       </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1B3560" w:rsidP="00982D78">
            <w:pPr>
              <w:spacing w:line="360" w:lineRule="atLeast"/>
              <w:rPr>
                <w:rFonts w:ascii="Times New Roman" w:hAnsi="Times New Roman"/>
                <w:spacing w:val="-2"/>
                <w:sz w:val="24"/>
                <w:szCs w:val="24"/>
              </w:rPr>
            </w:pPr>
            <w:hyperlink r:id="rId10"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0831444E" w14:textId="721432BD" w:rsidR="00F51760" w:rsidRDefault="001B3560" w:rsidP="00F51760">
            <w:pPr>
              <w:pStyle w:val="NormalWeb"/>
              <w:jc w:val="both"/>
            </w:pPr>
            <w:hyperlink r:id="rId11" w:history="1">
              <w:r w:rsidR="00F51760" w:rsidRPr="00151ADE">
                <w:rPr>
                  <w:rStyle w:val="Hyperlink"/>
                </w:rPr>
                <w:t>nenad.antonijevic@ite.gov.rs</w:t>
              </w:r>
            </w:hyperlink>
          </w:p>
          <w:p w14:paraId="52173E85" w14:textId="1F833913" w:rsidR="00E25458" w:rsidRDefault="001B3560" w:rsidP="00F51760">
            <w:pPr>
              <w:pStyle w:val="NormalWeb"/>
              <w:jc w:val="both"/>
            </w:pPr>
            <w:hyperlink r:id="rId12" w:history="1">
              <w:r w:rsidR="00E25458">
                <w:rPr>
                  <w:rStyle w:val="Hyperlink"/>
                </w:rPr>
                <w:t>edge@ite.gov.rs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3"/>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A6378" w14:textId="77777777" w:rsidR="001B3560" w:rsidRDefault="001B3560">
      <w:r>
        <w:separator/>
      </w:r>
    </w:p>
  </w:endnote>
  <w:endnote w:type="continuationSeparator" w:id="0">
    <w:p w14:paraId="1B717308" w14:textId="77777777" w:rsidR="001B3560" w:rsidRDefault="001B3560">
      <w:r>
        <w:rPr>
          <w:sz w:val="24"/>
        </w:rPr>
        <w:t xml:space="preserve"> </w:t>
      </w:r>
    </w:p>
  </w:endnote>
  <w:endnote w:type="continuationNotice" w:id="1">
    <w:p w14:paraId="19D91F31" w14:textId="77777777" w:rsidR="001B3560" w:rsidRDefault="001B356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71BF" w14:textId="77777777" w:rsidR="001B3560" w:rsidRDefault="001B3560">
      <w:r>
        <w:rPr>
          <w:sz w:val="24"/>
        </w:rPr>
        <w:separator/>
      </w:r>
    </w:p>
  </w:footnote>
  <w:footnote w:type="continuationSeparator" w:id="0">
    <w:p w14:paraId="2711E0F7" w14:textId="77777777" w:rsidR="001B3560" w:rsidRDefault="001B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D364D7"/>
    <w:multiLevelType w:val="hybridMultilevel"/>
    <w:tmpl w:val="286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4041"/>
    <w:rsid w:val="000F7A9C"/>
    <w:rsid w:val="00123D63"/>
    <w:rsid w:val="001763E0"/>
    <w:rsid w:val="001A5D44"/>
    <w:rsid w:val="001B0D84"/>
    <w:rsid w:val="001B3560"/>
    <w:rsid w:val="001D70EB"/>
    <w:rsid w:val="00217E25"/>
    <w:rsid w:val="00234E85"/>
    <w:rsid w:val="002727A9"/>
    <w:rsid w:val="002A1EFC"/>
    <w:rsid w:val="002A580B"/>
    <w:rsid w:val="002B3FAB"/>
    <w:rsid w:val="002F28DC"/>
    <w:rsid w:val="002F5C38"/>
    <w:rsid w:val="0030697E"/>
    <w:rsid w:val="0035409F"/>
    <w:rsid w:val="0035520E"/>
    <w:rsid w:val="00357959"/>
    <w:rsid w:val="00392917"/>
    <w:rsid w:val="003B1240"/>
    <w:rsid w:val="00473DE7"/>
    <w:rsid w:val="004E5125"/>
    <w:rsid w:val="004E721D"/>
    <w:rsid w:val="004F2B9A"/>
    <w:rsid w:val="004F4CD7"/>
    <w:rsid w:val="005117C9"/>
    <w:rsid w:val="00520D20"/>
    <w:rsid w:val="00521B5A"/>
    <w:rsid w:val="005A16AF"/>
    <w:rsid w:val="005A180D"/>
    <w:rsid w:val="005E02F2"/>
    <w:rsid w:val="005F591A"/>
    <w:rsid w:val="00603AFF"/>
    <w:rsid w:val="006134C9"/>
    <w:rsid w:val="006311BC"/>
    <w:rsid w:val="00645115"/>
    <w:rsid w:val="006459D2"/>
    <w:rsid w:val="00652BAB"/>
    <w:rsid w:val="00652FC7"/>
    <w:rsid w:val="00653213"/>
    <w:rsid w:val="0068331F"/>
    <w:rsid w:val="006879EC"/>
    <w:rsid w:val="006A15EC"/>
    <w:rsid w:val="006D6898"/>
    <w:rsid w:val="006F3706"/>
    <w:rsid w:val="006F64BB"/>
    <w:rsid w:val="007016CF"/>
    <w:rsid w:val="00725800"/>
    <w:rsid w:val="00743271"/>
    <w:rsid w:val="00793A9A"/>
    <w:rsid w:val="007B239D"/>
    <w:rsid w:val="007B5978"/>
    <w:rsid w:val="007B73A2"/>
    <w:rsid w:val="007C13EC"/>
    <w:rsid w:val="007D59F6"/>
    <w:rsid w:val="007F434F"/>
    <w:rsid w:val="008432B9"/>
    <w:rsid w:val="008768F0"/>
    <w:rsid w:val="008929AC"/>
    <w:rsid w:val="008A4AA7"/>
    <w:rsid w:val="008B175D"/>
    <w:rsid w:val="008F7BF0"/>
    <w:rsid w:val="00916E24"/>
    <w:rsid w:val="00930D65"/>
    <w:rsid w:val="009830E4"/>
    <w:rsid w:val="00994B88"/>
    <w:rsid w:val="009E196C"/>
    <w:rsid w:val="009E1E12"/>
    <w:rsid w:val="00A05A45"/>
    <w:rsid w:val="00A16EC9"/>
    <w:rsid w:val="00A36B57"/>
    <w:rsid w:val="00AB40E2"/>
    <w:rsid w:val="00AC622A"/>
    <w:rsid w:val="00AF2E68"/>
    <w:rsid w:val="00B3630A"/>
    <w:rsid w:val="00B4469E"/>
    <w:rsid w:val="00BA4299"/>
    <w:rsid w:val="00BB580B"/>
    <w:rsid w:val="00BC1BB9"/>
    <w:rsid w:val="00BD6CBC"/>
    <w:rsid w:val="00BE09A2"/>
    <w:rsid w:val="00BF33F0"/>
    <w:rsid w:val="00BF3C6F"/>
    <w:rsid w:val="00C40507"/>
    <w:rsid w:val="00C42046"/>
    <w:rsid w:val="00C61EF4"/>
    <w:rsid w:val="00CA1CA1"/>
    <w:rsid w:val="00D200D6"/>
    <w:rsid w:val="00D20BE0"/>
    <w:rsid w:val="00D50A97"/>
    <w:rsid w:val="00DC723F"/>
    <w:rsid w:val="00DD74D3"/>
    <w:rsid w:val="00DE64C9"/>
    <w:rsid w:val="00E07E32"/>
    <w:rsid w:val="00E25458"/>
    <w:rsid w:val="00E62637"/>
    <w:rsid w:val="00EA37DB"/>
    <w:rsid w:val="00EB5460"/>
    <w:rsid w:val="00EC3EA0"/>
    <w:rsid w:val="00EC50B8"/>
    <w:rsid w:val="00F02757"/>
    <w:rsid w:val="00F17486"/>
    <w:rsid w:val="00F17721"/>
    <w:rsid w:val="00F251B1"/>
    <w:rsid w:val="00F51760"/>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45115"/>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gov.rs/ed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e@ite.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d.antonijevic@ite.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9FD0-3A5F-43B8-9A55-ACDE20ED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6023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Krejović</cp:lastModifiedBy>
  <cp:revision>7</cp:revision>
  <cp:lastPrinted>2011-11-02T17:37:00Z</cp:lastPrinted>
  <dcterms:created xsi:type="dcterms:W3CDTF">2024-07-01T09:51:00Z</dcterms:created>
  <dcterms:modified xsi:type="dcterms:W3CDTF">2025-08-12T08:13:00Z</dcterms:modified>
</cp:coreProperties>
</file>